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sz w:val="34"/>
          <w:szCs w:val="34"/>
          <w:rtl w:val="0"/>
        </w:rPr>
        <w:t xml:space="preserve">Page 1</w:t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/>
        <w:drawing>
          <wp:inline distB="0" distT="0" distL="0" distR="0">
            <wp:extent cx="1821288" cy="3800588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1288" cy="3800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24"/>
          <w:szCs w:val="24"/>
        </w:rPr>
      </w:pP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sz w:val="24"/>
          <w:szCs w:val="24"/>
          <w:rtl w:val="0"/>
        </w:rPr>
        <w:t xml:space="preserve">FATIGUÉE ? ESSOUFFLÉE ? TOUX ?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tilliumText22L-Regular" w:cs="TitilliumText22L-Regular" w:eastAsia="TitilliumText22L-Regular" w:hAnsi="TitilliumText22L-Regular"/>
          <w:sz w:val="24"/>
          <w:szCs w:val="24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sz w:val="24"/>
          <w:szCs w:val="24"/>
          <w:rtl w:val="0"/>
        </w:rPr>
        <w:t xml:space="preserve">Chez la femme,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tilliumText22L-Regular" w:cs="TitilliumText22L-Regular" w:eastAsia="TitilliumText22L-Regular" w:hAnsi="TitilliumText22L-Regular"/>
          <w:sz w:val="24"/>
          <w:szCs w:val="24"/>
        </w:rPr>
      </w:pPr>
      <w:r w:rsidDel="00000000" w:rsidR="00000000" w:rsidRPr="00000000">
        <w:rPr>
          <w:rFonts w:ascii="TitilliumText22L-Bold" w:cs="TitilliumText22L-Bold" w:eastAsia="TitilliumText22L-Bold" w:hAnsi="TitilliumText22L-Bold"/>
          <w:b w:val="1"/>
          <w:sz w:val="24"/>
          <w:szCs w:val="24"/>
          <w:rtl w:val="0"/>
        </w:rPr>
        <w:t xml:space="preserve">La BPCO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sz w:val="24"/>
          <w:szCs w:val="24"/>
          <w:rtl w:val="0"/>
        </w:rPr>
        <w:t xml:space="preserve">est plus rapide et</w:t>
      </w:r>
      <w:r w:rsidDel="00000000" w:rsidR="00000000" w:rsidRPr="00000000">
        <w:rPr>
          <w:rFonts w:ascii="TitilliumText22L-Bold" w:cs="TitilliumText22L-Bold" w:eastAsia="TitilliumText22L-Bold" w:hAnsi="TitilliumText22L-Bol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sz w:val="24"/>
          <w:szCs w:val="24"/>
          <w:rtl w:val="0"/>
        </w:rPr>
        <w:t xml:space="preserve">plus sévère.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tilliumText22L-Bold" w:cs="TitilliumText22L-Bold" w:eastAsia="TitilliumText22L-Bold" w:hAnsi="TitilliumText22L-Bol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NE LA LAISSEZ PAS S’INSTALLER</w:t>
      </w:r>
    </w:p>
    <w:p w:rsidR="00000000" w:rsidDel="00000000" w:rsidP="00000000" w:rsidRDefault="00000000" w:rsidRPr="00000000">
      <w:pPr>
        <w:contextualSpacing w:val="0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sz w:val="34"/>
          <w:szCs w:val="34"/>
          <w:rtl w:val="0"/>
        </w:rPr>
        <w:t xml:space="preserve">Page 2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835513" cy="3814821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5513" cy="3814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tilliumText22L-XBold" w:cs="TitilliumText22L-XBold" w:eastAsia="TitilliumText22L-XBold" w:hAnsi="TitilliumText22L-XBold"/>
          <w:b w:val="1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Portrait d’une femme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atteinte de BPCO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C’est une femme, autour de 40 ans,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fumeuse, mais qui ne fume pas forcément beaucoup, 5 à 10 cigarettes par jour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. Une étude a confirmé que le risque de survenue d’une BPCO chez les femmes est aussi important que chez les hommes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Même si la BPCO est insidieuse, il y a toutefois des signes qui doivent y faire penser :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l’essoufflement et, la fatigue doivent donner l’alerte et ceci d’autant plus que la femme est isolée anxieuse ou dépressive, La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BPCO est socialement handicapante. Un homme qui tousse et crache n’a presque rien de choquant, tandis que pour une femme…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  <w:color w:val="e640c0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color w:val="e640c0"/>
          <w:rtl w:val="0"/>
        </w:rPr>
        <w:t xml:space="preserve">Les raisons de la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color w:val="e640c0"/>
          <w:rtl w:val="0"/>
        </w:rPr>
        <w:t xml:space="preserve">BPCO au féminin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XBold" w:cs="TitilliumText22L-XBold" w:eastAsia="TitilliumText22L-XBold" w:hAnsi="TitilliumText22L-XBold"/>
          <w:b w:val="1"/>
          <w:color w:val="e640c0"/>
        </w:rPr>
      </w:pP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color w:val="e640c0"/>
          <w:rtl w:val="0"/>
        </w:rPr>
        <w:t xml:space="preserve">Raison principale : une exposition accrue aux facteurs de risques.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Dans les pays en voie de développement, ce sont en priorité les fumées domestiques,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la pollution liée à la combustion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du charbon de bois qui est brûlé pour cuisiner ou se chauffer. Dans les pays développés, il y a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en premier lieu le tabac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et certains facteurs de risque professionnels. Face au tabac, les femmes ne sont pas à égalité avec les hommes. Les voies respiratoires des femmes ont un calibre moindre, et peuvent s’altérer par un tabagisme jugé minime de 5 cigarettes à 10 cigarettes par jour. De plus, y a un ralentissement de la croissance pulmonaire chez les jeunes filles fumeuses.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Autre spécificité,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les femmes ont une sensibilité accrue au tabac par rapport aux hommes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sz w:val="34"/>
          <w:szCs w:val="34"/>
          <w:rtl w:val="0"/>
        </w:rPr>
        <w:t xml:space="preserve">Page 3</w:t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r w:rsidDel="00000000" w:rsidR="00000000" w:rsidRPr="00000000">
        <w:rPr/>
        <w:drawing>
          <wp:inline distB="0" distT="0" distL="0" distR="0">
            <wp:extent cx="1860961" cy="379736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961" cy="3797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Certains facteurs professionnels, font courrier unum risque de BPCO chez par exemple lors de l’exposition aux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désinfectants de surface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. Il a été montré aux USA que chez les infirmières infirmières, l’exposition professionnelle régulière à ces désinfectants de surface majore le risque de BPCO de 22 à 32 % chez des non fumeuses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  <w:color w:val="e64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XBold" w:cs="TitilliumText22L-XBold" w:eastAsia="TitilliumText22L-XBold" w:hAnsi="TitilliumText22L-XBold"/>
          <w:b w:val="1"/>
          <w:color w:val="e640c0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color w:val="e640c0"/>
          <w:rtl w:val="0"/>
        </w:rPr>
        <w:t xml:space="preserve">Une maladie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color w:val="e640c0"/>
          <w:rtl w:val="0"/>
        </w:rPr>
        <w:t xml:space="preserve">mal identifiée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color w:val="e640c0"/>
          <w:rtl w:val="0"/>
        </w:rPr>
        <w:t xml:space="preserve">et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color w:val="e640c0"/>
          <w:rtl w:val="0"/>
        </w:rPr>
        <w:t xml:space="preserve">sous-diagnostiquée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bookmarkStart w:colFirst="0" w:colLast="0" w:name="_gjdgxs" w:id="0"/>
      <w:bookmarkEnd w:id="0"/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Deux raisons à cela : La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représentation traditionnellement de la BPCO est un homme fumeur de plus de 60 ans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 ». Or, les femmes qui ont une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BPCO sont atteintes par cette maladie à un âge plus jeune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que les hommes. A partir de 35 ans, il faut y veiller.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Ainsi, quand une femme se plaint de toux, d’essoufflement pense plutôt à un asthme qui a une BPCO. Le diagnostic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en est retardé. C’est lourd de conséquences, car </w:t>
      </w:r>
      <w:r w:rsidDel="00000000" w:rsidR="00000000" w:rsidRPr="00000000">
        <w:rPr>
          <w:rFonts w:ascii="TitilliumText22L-Bold" w:cs="TitilliumText22L-Bold" w:eastAsia="TitilliumText22L-Bold" w:hAnsi="TitilliumText22L-Bold"/>
          <w:b w:val="1"/>
          <w:rtl w:val="0"/>
        </w:rPr>
        <w:t xml:space="preserve">la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 </w:t>
      </w:r>
      <w:r w:rsidDel="00000000" w:rsidR="00000000" w:rsidRPr="00000000">
        <w:rPr>
          <w:rFonts w:ascii="TitilliumText22L-Bold" w:cs="TitilliumText22L-Bold" w:eastAsia="TitilliumText22L-Bold" w:hAnsi="TitilliumText22L-Bold"/>
          <w:b w:val="1"/>
          <w:rtl w:val="0"/>
        </w:rPr>
        <w:t xml:space="preserve">BPCO progresse plus rapidement chez les femmes que chez l’homme.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D’autre part, les femmes vont moins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consulter. Elles ne vont pas voir leur médecin suffisamment tôt. Les plaintes initiales seront souvent différentes. Elles vont dire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qu’elles sont fatiguées et non pas qu’elles sont essoufflées.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XBold" w:cs="TitilliumText22L-XBold" w:eastAsia="TitilliumText22L-XBold" w:hAnsi="TitilliumText22L-XBo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XBold" w:cs="TitilliumText22L-XBold" w:eastAsia="TitilliumText22L-XBold" w:hAnsi="TitilliumText22L-XBold"/>
          <w:b w:val="1"/>
          <w:color w:val="e640c0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color w:val="e640c0"/>
          <w:rtl w:val="0"/>
        </w:rPr>
        <w:t xml:space="preserve">Une BPCO plus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color w:val="e640c0"/>
          <w:rtl w:val="0"/>
        </w:rPr>
        <w:t xml:space="preserve">rapide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color w:val="e640c0"/>
          <w:rtl w:val="0"/>
        </w:rPr>
        <w:t xml:space="preserve">et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color w:val="e640c0"/>
          <w:rtl w:val="0"/>
        </w:rPr>
        <w:t xml:space="preserve">plus sévère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  <w:color w:val="e64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Les d données épidémiologiques montrent que le pronostic de la maladie est plus sombre chez la femme que chez l’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hommes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. Les hommes ont modifié leur comportement tabagique et diminuent leur intoxication. Les femmes non ! C’est regrettable car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à tabagisme égal, la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BPCO est plus rapide et plus sévère chez les femmes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. , les femmes sont principalement gênées par la dyspnée, qui survient plus tôt,  chez une patiente souvent encore jeune.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L’ostéoporose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 doit être évaluée car souvent fréquemment présente chez une patiente ayant une BPCO.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Et il faut aussi souligner les fréquents épisodes d’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anxiété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dus au sentiment d’</w:t>
      </w:r>
      <w:r w:rsidDel="00000000" w:rsidR="00000000" w:rsidRPr="00000000">
        <w:rPr>
          <w:rFonts w:ascii="TitilliumText22L-Bold" w:cs="TitilliumText22L-Bold" w:eastAsia="TitilliumText22L-Bold" w:hAnsi="TitilliumText22L-Bold"/>
          <w:b w:val="1"/>
          <w:rtl w:val="0"/>
        </w:rPr>
        <w:t xml:space="preserve">étouffement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. La </w:t>
      </w:r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rtl w:val="0"/>
        </w:rPr>
        <w:t xml:space="preserve">dépression </w:t>
      </w: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s’installe.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XBold" w:cs="TitilliumText22L-XBold" w:eastAsia="TitilliumText22L-XBold" w:hAnsi="TitilliumText22L-XBol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tilliumText22L-Regular" w:cs="TitilliumText22L-Regular" w:eastAsia="TitilliumText22L-Regular" w:hAnsi="TitilliumText22L-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tilliumText22L-XBold" w:cs="TitilliumText22L-XBold" w:eastAsia="TitilliumText22L-XBold" w:hAnsi="TitilliumText22L-XBold"/>
          <w:b w:val="1"/>
          <w:sz w:val="34"/>
          <w:szCs w:val="34"/>
        </w:rPr>
      </w:pPr>
      <w:bookmarkStart w:colFirst="0" w:colLast="0" w:name="_30j0zll" w:id="1"/>
      <w:bookmarkEnd w:id="1"/>
      <w:r w:rsidDel="00000000" w:rsidR="00000000" w:rsidRPr="00000000">
        <w:rPr>
          <w:rFonts w:ascii="TitilliumText22L-XBold" w:cs="TitilliumText22L-XBold" w:eastAsia="TitilliumText22L-XBold" w:hAnsi="TitilliumText22L-XBold"/>
          <w:b w:val="1"/>
          <w:sz w:val="34"/>
          <w:szCs w:val="34"/>
          <w:rtl w:val="0"/>
        </w:rPr>
        <w:t xml:space="preserve">Page 4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tilliumText22L-Regular" w:cs="TitilliumText22L-Regular" w:eastAsia="TitilliumText22L-Regular" w:hAnsi="TitilliumText22L-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tilliumText22L-Regular" w:cs="TitilliumText22L-Regular" w:eastAsia="TitilliumText22L-Regular" w:hAnsi="TitilliumText22L-Regular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066925" cy="43053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430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Bold" w:cs="TitilliumText22L-Bold" w:eastAsia="TitilliumText22L-Bold" w:hAnsi="TitilliumText22L-Bold"/>
          <w:b w:val="1"/>
          <w:color w:val="808080"/>
        </w:rPr>
      </w:pPr>
      <w:r w:rsidDel="00000000" w:rsidR="00000000" w:rsidRPr="00000000">
        <w:rPr>
          <w:rFonts w:ascii="TitilliumText22L-Bold" w:cs="TitilliumText22L-Bold" w:eastAsia="TitilliumText22L-Bold" w:hAnsi="TitilliumText22L-Bold"/>
          <w:b w:val="1"/>
          <w:color w:val="808080"/>
          <w:rtl w:val="0"/>
        </w:rPr>
        <w:t xml:space="preserve">La BPCO reste une maladie qui a une image masculine.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  <w:color w:val="e640c0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color w:val="e640c0"/>
          <w:rtl w:val="0"/>
        </w:rPr>
        <w:t xml:space="preserve">Mais c’est une image fausse : </w:t>
      </w:r>
      <w:r w:rsidDel="00000000" w:rsidR="00000000" w:rsidRPr="00000000">
        <w:rPr>
          <w:rFonts w:ascii="TitilliumText22L-Bold" w:cs="TitilliumText22L-Bold" w:eastAsia="TitilliumText22L-Bold" w:hAnsi="TitilliumText22L-Bold"/>
          <w:b w:val="1"/>
          <w:color w:val="e640c0"/>
          <w:rtl w:val="0"/>
        </w:rPr>
        <w:t xml:space="preserve">la moitié des malades sont des femmes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Fonts w:ascii="TitilliumText22L-Regular" w:cs="TitilliumText22L-Regular" w:eastAsia="TitilliumText22L-Regular" w:hAnsi="TitilliumText22L-Regular"/>
          <w:rtl w:val="0"/>
        </w:rPr>
        <w:t xml:space="preserve">La prédominance de la BPCO chez l’homme a déjà disparue dans certains pays comme les Etats-Unis, l’Autriche, l’Australie ou l’Islande. Partout ailleurs, elle s’estompe. En Angleterre ou en Allemagne, on voit le nombre de femmes atteintes de BPCO augmenter considérablement, alors que celui des hommes décroît**. Prenons la BPCO des femmes en considération !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Regular" w:cs="TitilliumText22L-Regular" w:eastAsia="TitilliumText22L-Regular" w:hAnsi="TitilliumText22L-Regul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Bold" w:cs="TitilliumText22L-Bold" w:eastAsia="TitilliumText22L-Bold" w:hAnsi="TitilliumText22L-Bold"/>
          <w:b w:val="1"/>
        </w:rPr>
      </w:pPr>
      <w:r w:rsidDel="00000000" w:rsidR="00000000" w:rsidRPr="00000000">
        <w:rPr>
          <w:rFonts w:ascii="TitilliumText22L-Bold" w:cs="TitilliumText22L-Bold" w:eastAsia="TitilliumText22L-Bold" w:hAnsi="TitilliumText22L-Bold"/>
          <w:b w:val="1"/>
          <w:rtl w:val="0"/>
        </w:rPr>
        <w:t xml:space="preserve">A partir du moment où l’on a fumé, il faut consulter son médecin si l’on se sent fatigué, si on tousse, si l’on a des bronchites à répétition. Son médecin devra faire une mesure du souffle ou proposera de consulter un pneumologue.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Bold" w:cs="TitilliumText22L-Bold" w:eastAsia="TitilliumText22L-Bold" w:hAnsi="TitilliumText22L-Bol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tillium Web" w:cs="Titillium Web" w:eastAsia="Titillium Web" w:hAnsi="Titillium Web"/>
          <w:sz w:val="16"/>
          <w:szCs w:val="16"/>
        </w:rPr>
      </w:pPr>
      <w:r w:rsidDel="00000000" w:rsidR="00000000" w:rsidRPr="00000000">
        <w:rPr>
          <w:rFonts w:ascii="Titillium Web" w:cs="Titillium Web" w:eastAsia="Titillium Web" w:hAnsi="Titillium Web"/>
          <w:sz w:val="16"/>
          <w:szCs w:val="16"/>
          <w:rtl w:val="0"/>
        </w:rPr>
        <w:t xml:space="preserve">*US Nurses Study II, 1989-2017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 Web" w:cs="Titillium Web" w:eastAsia="Titillium Web" w:hAnsi="Titillium Web"/>
          <w:sz w:val="16"/>
          <w:szCs w:val="16"/>
        </w:rPr>
      </w:pPr>
      <w:r w:rsidDel="00000000" w:rsidR="00000000" w:rsidRPr="00000000">
        <w:rPr>
          <w:rFonts w:ascii="Titillium Web" w:cs="Titillium Web" w:eastAsia="Titillium Web" w:hAnsi="Titillium Web"/>
          <w:sz w:val="16"/>
          <w:szCs w:val="16"/>
          <w:rtl w:val="0"/>
        </w:rPr>
        <w:t xml:space="preserve">**Manino Lancet 2007:370 : 76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 Web" w:cs="Titillium Web" w:eastAsia="Titillium Web" w:hAnsi="Titillium Web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Questrial" w:cs="Questrial" w:eastAsia="Questrial" w:hAnsi="Questrial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sz w:val="16"/>
          <w:szCs w:val="16"/>
          <w:rtl w:val="0"/>
        </w:rPr>
        <w:t xml:space="preserve">AVEC LE SOUTIEN DE : ALDES, ASTRAZENECA, BOERINGHER INGELHEIM,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tilliumText22L-Bold" w:cs="TitilliumText22L-Bold" w:eastAsia="TitilliumText22L-Bold" w:hAnsi="TitilliumText22L-Bold"/>
          <w:b w:val="1"/>
          <w:sz w:val="16"/>
          <w:szCs w:val="16"/>
        </w:rPr>
      </w:pPr>
      <w:r w:rsidDel="00000000" w:rsidR="00000000" w:rsidRPr="00000000">
        <w:rPr>
          <w:rFonts w:ascii="Questrial" w:cs="Questrial" w:eastAsia="Questrial" w:hAnsi="Questrial"/>
          <w:sz w:val="16"/>
          <w:szCs w:val="16"/>
          <w:rtl w:val="0"/>
        </w:rPr>
        <w:t xml:space="preserve">GLAXOSMITHKLINE, NOVARTIS PHARMA, ROCHE, SOS OXYGÈNE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tilliumText22L-Bold"/>
  <w:font w:name="TitilliumText22L-XBold"/>
  <w:font w:name="TitilliumText22L-Regular"/>
  <w:font w:name="Questrial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-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3.png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5" Type="http://schemas.openxmlformats.org/officeDocument/2006/relationships/font" Target="fonts/Questrial-regular.ttf"/></Relationships>
</file>